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B070" w14:textId="3F87477C" w:rsidR="00F142A3" w:rsidRPr="00E9033B" w:rsidRDefault="0022462B" w:rsidP="0022462B">
      <w:pPr>
        <w:pBdr>
          <w:top w:val="nil"/>
          <w:left w:val="nil"/>
          <w:bottom w:val="nil"/>
          <w:right w:val="nil"/>
          <w:between w:val="nil"/>
          <w:bar w:val="nil"/>
        </w:pBdr>
        <w:spacing w:after="0" w:line="240" w:lineRule="auto"/>
        <w:jc w:val="both"/>
        <w:rPr>
          <w:rFonts w:ascii="Times New Roman" w:eastAsia="Times New Roman" w:hAnsi="Times New Roman" w:cs="Times New Roman"/>
          <w:i/>
          <w:iCs/>
          <w:sz w:val="24"/>
          <w:szCs w:val="24"/>
          <w:lang w:eastAsia="it-IT"/>
        </w:rPr>
      </w:pPr>
      <w:r>
        <w:rPr>
          <w:rFonts w:ascii="Times New Roman" w:eastAsia="Times New Roman" w:hAnsi="Times New Roman" w:cs="Times New Roman"/>
          <w:i/>
          <w:iCs/>
          <w:sz w:val="24"/>
          <w:szCs w:val="24"/>
          <w:lang w:eastAsia="it-IT"/>
        </w:rPr>
        <w:t xml:space="preserve">                                     </w:t>
      </w:r>
      <w:r w:rsidR="00F142A3" w:rsidRPr="00E9033B">
        <w:rPr>
          <w:rFonts w:ascii="Times New Roman" w:eastAsia="Times New Roman" w:hAnsi="Times New Roman" w:cs="Times New Roman"/>
          <w:i/>
          <w:iCs/>
          <w:sz w:val="24"/>
          <w:szCs w:val="24"/>
          <w:lang w:eastAsia="it-IT"/>
        </w:rPr>
        <w:t xml:space="preserve">Comunicato stampa n. </w:t>
      </w:r>
      <w:r>
        <w:rPr>
          <w:rFonts w:ascii="Times New Roman" w:eastAsia="Times New Roman" w:hAnsi="Times New Roman" w:cs="Times New Roman"/>
          <w:i/>
          <w:iCs/>
          <w:sz w:val="24"/>
          <w:szCs w:val="24"/>
          <w:lang w:eastAsia="it-IT"/>
        </w:rPr>
        <w:t xml:space="preserve"> </w:t>
      </w:r>
      <w:r w:rsidR="008155A6">
        <w:rPr>
          <w:rFonts w:ascii="Times New Roman" w:eastAsia="Times New Roman" w:hAnsi="Times New Roman" w:cs="Times New Roman"/>
          <w:i/>
          <w:iCs/>
          <w:sz w:val="24"/>
          <w:szCs w:val="24"/>
          <w:lang w:eastAsia="it-IT"/>
        </w:rPr>
        <w:t>21</w:t>
      </w:r>
    </w:p>
    <w:p w14:paraId="006D458B" w14:textId="1D1882F2" w:rsidR="00010F46" w:rsidRPr="00010F46" w:rsidRDefault="00010F46" w:rsidP="00010F46">
      <w:pPr>
        <w:ind w:left="2268"/>
        <w:jc w:val="both"/>
        <w:rPr>
          <w:rFonts w:ascii="Times New Roman" w:hAnsi="Times New Roman" w:cs="Times New Roman"/>
          <w:b/>
          <w:bCs/>
          <w:sz w:val="28"/>
          <w:szCs w:val="28"/>
        </w:rPr>
      </w:pPr>
      <w:r w:rsidRPr="00010F46">
        <w:rPr>
          <w:rFonts w:ascii="Times New Roman" w:hAnsi="Times New Roman" w:cs="Times New Roman"/>
          <w:b/>
          <w:bCs/>
          <w:sz w:val="28"/>
          <w:szCs w:val="28"/>
        </w:rPr>
        <w:t>EIMA International, la grande vetrina della componentistica</w:t>
      </w:r>
    </w:p>
    <w:p w14:paraId="6D7F761E" w14:textId="3187DB51" w:rsidR="00010F46" w:rsidRPr="00010F46" w:rsidRDefault="00010F46" w:rsidP="00010F46">
      <w:pPr>
        <w:ind w:left="2268"/>
        <w:jc w:val="both"/>
        <w:rPr>
          <w:rFonts w:ascii="Times New Roman" w:hAnsi="Times New Roman" w:cs="Times New Roman"/>
          <w:b/>
          <w:bCs/>
          <w:i/>
          <w:iCs/>
          <w:sz w:val="26"/>
          <w:szCs w:val="26"/>
        </w:rPr>
      </w:pPr>
      <w:r w:rsidRPr="00010F46">
        <w:rPr>
          <w:rFonts w:ascii="Times New Roman" w:hAnsi="Times New Roman" w:cs="Times New Roman"/>
          <w:b/>
          <w:bCs/>
          <w:i/>
          <w:iCs/>
          <w:sz w:val="26"/>
          <w:szCs w:val="26"/>
        </w:rPr>
        <w:t>L’edizione 2026 della grande esposizione della meccanica agricola presenta un numero elevatissimo di case costruttrici specializzate in componenti, ricambi ed accessori. Sono 958 le industrie del comparto che espongono la propria gamma, distribuite nei tre Saloni di EIMA “Componenti”, “</w:t>
      </w:r>
      <w:proofErr w:type="spellStart"/>
      <w:r w:rsidRPr="00010F46">
        <w:rPr>
          <w:rFonts w:ascii="Times New Roman" w:hAnsi="Times New Roman" w:cs="Times New Roman"/>
          <w:b/>
          <w:bCs/>
          <w:i/>
          <w:iCs/>
          <w:sz w:val="26"/>
          <w:szCs w:val="26"/>
        </w:rPr>
        <w:t>Idrotech</w:t>
      </w:r>
      <w:proofErr w:type="spellEnd"/>
      <w:r w:rsidRPr="00010F46">
        <w:rPr>
          <w:rFonts w:ascii="Times New Roman" w:hAnsi="Times New Roman" w:cs="Times New Roman"/>
          <w:b/>
          <w:bCs/>
          <w:i/>
          <w:iCs/>
          <w:sz w:val="26"/>
          <w:szCs w:val="26"/>
        </w:rPr>
        <w:t>” e “Digital”. All’avanguardia nei materia</w:t>
      </w:r>
      <w:r>
        <w:rPr>
          <w:rFonts w:ascii="Times New Roman" w:hAnsi="Times New Roman" w:cs="Times New Roman"/>
          <w:b/>
          <w:bCs/>
          <w:i/>
          <w:iCs/>
          <w:sz w:val="26"/>
          <w:szCs w:val="26"/>
        </w:rPr>
        <w:t>-</w:t>
      </w:r>
      <w:r w:rsidRPr="00010F46">
        <w:rPr>
          <w:rFonts w:ascii="Times New Roman" w:hAnsi="Times New Roman" w:cs="Times New Roman"/>
          <w:b/>
          <w:bCs/>
          <w:i/>
          <w:iCs/>
          <w:sz w:val="26"/>
          <w:szCs w:val="26"/>
        </w:rPr>
        <w:t xml:space="preserve">li, del design e nell’elettronica, la componentistica è un fattore d’innovazione per l’intera industria </w:t>
      </w:r>
      <w:proofErr w:type="spellStart"/>
      <w:r w:rsidRPr="00010F46">
        <w:rPr>
          <w:rFonts w:ascii="Times New Roman" w:hAnsi="Times New Roman" w:cs="Times New Roman"/>
          <w:b/>
          <w:bCs/>
          <w:i/>
          <w:iCs/>
          <w:sz w:val="26"/>
          <w:szCs w:val="26"/>
        </w:rPr>
        <w:t>agromeccanica</w:t>
      </w:r>
      <w:proofErr w:type="spellEnd"/>
      <w:r w:rsidRPr="00010F46">
        <w:rPr>
          <w:rFonts w:ascii="Times New Roman" w:hAnsi="Times New Roman" w:cs="Times New Roman"/>
          <w:b/>
          <w:bCs/>
          <w:i/>
          <w:iCs/>
          <w:sz w:val="26"/>
          <w:szCs w:val="26"/>
        </w:rPr>
        <w:t>.</w:t>
      </w:r>
    </w:p>
    <w:p w14:paraId="33FD7259" w14:textId="696694C4" w:rsidR="00010F46" w:rsidRPr="00010F46" w:rsidRDefault="00010F46" w:rsidP="00010F46">
      <w:pPr>
        <w:ind w:left="2268"/>
        <w:jc w:val="both"/>
        <w:rPr>
          <w:rFonts w:ascii="Times New Roman" w:hAnsi="Times New Roman" w:cs="Times New Roman"/>
          <w:sz w:val="24"/>
          <w:szCs w:val="24"/>
        </w:rPr>
      </w:pPr>
      <w:r w:rsidRPr="00010F46">
        <w:rPr>
          <w:rFonts w:ascii="Times New Roman" w:hAnsi="Times New Roman" w:cs="Times New Roman"/>
          <w:sz w:val="24"/>
          <w:szCs w:val="24"/>
        </w:rPr>
        <w:t>Fra i settori merceologici presenti ad EIMA International quello della componentistica è il più consistente. Delle 1.800 industrie che espongono alla rassegna internazionale della meccanica agricola – in scena alla fiera di Bologna dal 10 al 14 novembre – ben 958, delle quali 388 estere, producono componenti, ricambi e accessori per i mezzi agricoli. Le industrie della componentistica sono presenti nel Salone “</w:t>
      </w:r>
      <w:proofErr w:type="spellStart"/>
      <w:r w:rsidRPr="00010F46">
        <w:rPr>
          <w:rFonts w:ascii="Times New Roman" w:hAnsi="Times New Roman" w:cs="Times New Roman"/>
          <w:sz w:val="24"/>
          <w:szCs w:val="24"/>
        </w:rPr>
        <w:t>Idrotech</w:t>
      </w:r>
      <w:proofErr w:type="spellEnd"/>
      <w:r w:rsidRPr="00010F46">
        <w:rPr>
          <w:rFonts w:ascii="Times New Roman" w:hAnsi="Times New Roman" w:cs="Times New Roman"/>
          <w:sz w:val="24"/>
          <w:szCs w:val="24"/>
        </w:rPr>
        <w:t xml:space="preserve">” dedicato ai sistemi di irrigazione, nel Salone “Digital” dedicato ai sistemi elettronici avanzati per la gestione delle macchine e il controllo delle operazioni in campo, ma soprattutto nel Salone “Componenti”, che comprende una vastissima merceologia - dagli assali agli pneumatici, dai sistemi di frenatura agli equipaggiamenti delle </w:t>
      </w:r>
      <w:r>
        <w:rPr>
          <w:rFonts w:ascii="Times New Roman" w:hAnsi="Times New Roman" w:cs="Times New Roman"/>
          <w:sz w:val="24"/>
          <w:szCs w:val="24"/>
        </w:rPr>
        <w:t>c</w:t>
      </w:r>
      <w:r w:rsidRPr="00010F46">
        <w:rPr>
          <w:rFonts w:ascii="Times New Roman" w:hAnsi="Times New Roman" w:cs="Times New Roman"/>
          <w:sz w:val="24"/>
          <w:szCs w:val="24"/>
        </w:rPr>
        <w:t xml:space="preserve">abine, dalla motoristica all’infinita varietà di parti meccaniche per le macchine e le attrezzature </w:t>
      </w:r>
      <w:r>
        <w:rPr>
          <w:rFonts w:ascii="Times New Roman" w:hAnsi="Times New Roman" w:cs="Times New Roman"/>
          <w:sz w:val="24"/>
          <w:szCs w:val="24"/>
        </w:rPr>
        <w:t>-</w:t>
      </w:r>
      <w:r w:rsidRPr="00010F46">
        <w:rPr>
          <w:rFonts w:ascii="Times New Roman" w:hAnsi="Times New Roman" w:cs="Times New Roman"/>
          <w:sz w:val="24"/>
          <w:szCs w:val="24"/>
        </w:rPr>
        <w:t xml:space="preserve"> e che da solo conta 555 industrie espositrici delle quali 191 estere. Oltre alle aziende italiane, che sono storicamente tra le più avanzate nella progettazione e produzione di componenti, e che sono presenti in forze ad EIMA 2026 con un’ampia gamma di prodotti e modelli, numerose sono le case costruttrici provenienti da Cina, Turchia, Stati Uniti, Germania, Francia e Spagna. D’altra parte – segnala FederUnacoma, la Federazione dei costruttori di macchina agricole che è organizzatrice diretta di EIMA International – la componentistica è emersa in questi anni come un settore particolarmente dinamico e strategico per la meccanica agricola, perché strettamente connesso con le industrie costruttrici e nello stesso tempo connesso con le reti dei ricambi e dell’assistenza tecnica. Ma soprattutto </w:t>
      </w:r>
      <w:r>
        <w:rPr>
          <w:rFonts w:ascii="Times New Roman" w:hAnsi="Times New Roman" w:cs="Times New Roman"/>
          <w:sz w:val="24"/>
          <w:szCs w:val="24"/>
        </w:rPr>
        <w:t>-</w:t>
      </w:r>
      <w:r w:rsidRPr="00010F46">
        <w:rPr>
          <w:rFonts w:ascii="Times New Roman" w:hAnsi="Times New Roman" w:cs="Times New Roman"/>
          <w:sz w:val="24"/>
          <w:szCs w:val="24"/>
        </w:rPr>
        <w:t xml:space="preserve"> sottolinea la Federazione dei costruttori - la componentistica è un elemento fondamentale per l’innovazione tecnologica nel settore. Il miglioramento delle performance delle macchine e delle attrezzature agricole, infatti, molto dipende dalle caratteristiche dei componenti che vengono introdotti, e che scaturiscono dalla ricerca sui materiali, dal design, dalle applicazioni digitali che consentono un monitoraggio completo dei mezzi nelle varie fasi di lavoro, che permettono il rilevamento di tutti i parametri agronomici e ambientali, e che garantiscono agli operatori ergonomia e sicurezza sempre maggiori.</w:t>
      </w:r>
    </w:p>
    <w:p w14:paraId="78E79208" w14:textId="6C32EE4F" w:rsidR="0022462B" w:rsidRPr="00010F46" w:rsidRDefault="0022462B" w:rsidP="00010F46">
      <w:pPr>
        <w:ind w:left="2268"/>
        <w:jc w:val="both"/>
        <w:rPr>
          <w:rFonts w:ascii="Times New Roman" w:hAnsi="Times New Roman" w:cs="Times New Roman"/>
          <w:b/>
          <w:bCs/>
          <w:sz w:val="24"/>
          <w:szCs w:val="24"/>
        </w:rPr>
      </w:pPr>
      <w:r w:rsidRPr="00010F46">
        <w:rPr>
          <w:rFonts w:ascii="Times New Roman" w:hAnsi="Times New Roman" w:cs="Times New Roman"/>
          <w:b/>
          <w:bCs/>
          <w:sz w:val="24"/>
          <w:szCs w:val="24"/>
        </w:rPr>
        <w:t>Roma,</w:t>
      </w:r>
      <w:r w:rsidR="008155A6">
        <w:rPr>
          <w:rFonts w:ascii="Times New Roman" w:hAnsi="Times New Roman" w:cs="Times New Roman"/>
          <w:b/>
          <w:bCs/>
          <w:sz w:val="24"/>
          <w:szCs w:val="24"/>
        </w:rPr>
        <w:t xml:space="preserve"> 2 </w:t>
      </w:r>
      <w:r w:rsidR="0073212E" w:rsidRPr="00010F46">
        <w:rPr>
          <w:rFonts w:ascii="Times New Roman" w:hAnsi="Times New Roman" w:cs="Times New Roman"/>
          <w:b/>
          <w:bCs/>
          <w:sz w:val="24"/>
          <w:szCs w:val="24"/>
        </w:rPr>
        <w:t>novembre</w:t>
      </w:r>
      <w:r w:rsidRPr="00010F46">
        <w:rPr>
          <w:rFonts w:ascii="Times New Roman" w:hAnsi="Times New Roman" w:cs="Times New Roman"/>
          <w:b/>
          <w:bCs/>
          <w:sz w:val="24"/>
          <w:szCs w:val="24"/>
        </w:rPr>
        <w:t xml:space="preserve"> 2026</w:t>
      </w:r>
    </w:p>
    <w:p w14:paraId="31CC80F1" w14:textId="2085A13B" w:rsidR="00E9033B" w:rsidRPr="00D02C93" w:rsidRDefault="00E9033B" w:rsidP="0022462B">
      <w:pPr>
        <w:jc w:val="both"/>
        <w:rPr>
          <w:rFonts w:ascii="Times New Roman" w:hAnsi="Times New Roman" w:cs="Times New Roman"/>
          <w:sz w:val="23"/>
          <w:szCs w:val="23"/>
        </w:rPr>
      </w:pPr>
    </w:p>
    <w:sectPr w:rsidR="00E9033B" w:rsidRPr="00D02C93" w:rsidSect="00C823A0">
      <w:headerReference w:type="default" r:id="rId6"/>
      <w:footerReference w:type="default" r:id="rId7"/>
      <w:pgSz w:w="11906" w:h="16838" w:code="9"/>
      <w:pgMar w:top="1418" w:right="424"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8EF64" w14:textId="77777777" w:rsidR="00521224" w:rsidRDefault="00521224">
      <w:pPr>
        <w:spacing w:after="0" w:line="240" w:lineRule="auto"/>
      </w:pPr>
      <w:r>
        <w:separator/>
      </w:r>
    </w:p>
  </w:endnote>
  <w:endnote w:type="continuationSeparator" w:id="0">
    <w:p w14:paraId="5B570593" w14:textId="77777777" w:rsidR="00521224" w:rsidRDefault="00521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728035"/>
      <w:docPartObj>
        <w:docPartGallery w:val="Page Numbers (Bottom of Page)"/>
        <w:docPartUnique/>
      </w:docPartObj>
    </w:sdtPr>
    <w:sdtContent>
      <w:p w14:paraId="3374D75A" w14:textId="6D929616" w:rsidR="0073212E" w:rsidRDefault="0073212E">
        <w:pPr>
          <w:pStyle w:val="Pidipagina"/>
          <w:jc w:val="right"/>
        </w:pPr>
        <w:r>
          <w:fldChar w:fldCharType="begin"/>
        </w:r>
        <w:r>
          <w:instrText>PAGE   \* MERGEFORMAT</w:instrText>
        </w:r>
        <w:r>
          <w:fldChar w:fldCharType="separate"/>
        </w:r>
        <w:r>
          <w:t>2</w:t>
        </w:r>
        <w:r>
          <w:fldChar w:fldCharType="end"/>
        </w:r>
      </w:p>
    </w:sdtContent>
  </w:sdt>
  <w:p w14:paraId="06D59EA9" w14:textId="6CAA89ED" w:rsidR="000E53AF" w:rsidRDefault="000E53A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6188C" w14:textId="77777777" w:rsidR="00521224" w:rsidRDefault="00521224">
      <w:pPr>
        <w:spacing w:after="0" w:line="240" w:lineRule="auto"/>
      </w:pPr>
      <w:r>
        <w:separator/>
      </w:r>
    </w:p>
  </w:footnote>
  <w:footnote w:type="continuationSeparator" w:id="0">
    <w:p w14:paraId="051D81AE" w14:textId="77777777" w:rsidR="00521224" w:rsidRDefault="005212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A9A9" w14:textId="657A40E8" w:rsidR="000E53AF" w:rsidRDefault="00F142A3">
    <w:pPr>
      <w:pStyle w:val="Intestazione"/>
    </w:pPr>
    <w:r>
      <w:rPr>
        <w:noProof/>
      </w:rPr>
      <w:drawing>
        <wp:anchor distT="0" distB="0" distL="114300" distR="114300" simplePos="0" relativeHeight="251659264" behindDoc="1" locked="0" layoutInCell="1" allowOverlap="1" wp14:anchorId="25C14DD8" wp14:editId="0AEF9425">
          <wp:simplePos x="0" y="0"/>
          <wp:positionH relativeFrom="column">
            <wp:posOffset>-605473</wp:posOffset>
          </wp:positionH>
          <wp:positionV relativeFrom="paragraph">
            <wp:posOffset>-705168</wp:posOffset>
          </wp:positionV>
          <wp:extent cx="7531023" cy="10660469"/>
          <wp:effectExtent l="0" t="0" r="635" b="0"/>
          <wp:wrapNone/>
          <wp:docPr id="1250611131" name="Immagine 125061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10F46"/>
    <w:rsid w:val="00024362"/>
    <w:rsid w:val="000301DA"/>
    <w:rsid w:val="00032732"/>
    <w:rsid w:val="00077B9F"/>
    <w:rsid w:val="000859E7"/>
    <w:rsid w:val="000A6A98"/>
    <w:rsid w:val="000C4409"/>
    <w:rsid w:val="000D6EA3"/>
    <w:rsid w:val="000D72CF"/>
    <w:rsid w:val="000E0195"/>
    <w:rsid w:val="000E53AF"/>
    <w:rsid w:val="00117F0C"/>
    <w:rsid w:val="00122D62"/>
    <w:rsid w:val="0012550A"/>
    <w:rsid w:val="00132537"/>
    <w:rsid w:val="00150E3E"/>
    <w:rsid w:val="00176098"/>
    <w:rsid w:val="00192108"/>
    <w:rsid w:val="001A07C0"/>
    <w:rsid w:val="001A523F"/>
    <w:rsid w:val="002058DE"/>
    <w:rsid w:val="00212BEB"/>
    <w:rsid w:val="0022462B"/>
    <w:rsid w:val="002432BE"/>
    <w:rsid w:val="00275B9C"/>
    <w:rsid w:val="002803A2"/>
    <w:rsid w:val="00282300"/>
    <w:rsid w:val="00286BB1"/>
    <w:rsid w:val="00291A0E"/>
    <w:rsid w:val="002949D3"/>
    <w:rsid w:val="00297040"/>
    <w:rsid w:val="002A2E24"/>
    <w:rsid w:val="002B2D86"/>
    <w:rsid w:val="002D4418"/>
    <w:rsid w:val="002F0D75"/>
    <w:rsid w:val="00302C23"/>
    <w:rsid w:val="0030445C"/>
    <w:rsid w:val="00305DE1"/>
    <w:rsid w:val="00310B45"/>
    <w:rsid w:val="00322E5D"/>
    <w:rsid w:val="00323399"/>
    <w:rsid w:val="00335B2C"/>
    <w:rsid w:val="003522D1"/>
    <w:rsid w:val="0035717D"/>
    <w:rsid w:val="00357578"/>
    <w:rsid w:val="003668B9"/>
    <w:rsid w:val="00394530"/>
    <w:rsid w:val="003E2E13"/>
    <w:rsid w:val="003F12A8"/>
    <w:rsid w:val="003F2E5D"/>
    <w:rsid w:val="003F6C78"/>
    <w:rsid w:val="0043541E"/>
    <w:rsid w:val="004379F0"/>
    <w:rsid w:val="00446399"/>
    <w:rsid w:val="00476F56"/>
    <w:rsid w:val="004B341F"/>
    <w:rsid w:val="004C655C"/>
    <w:rsid w:val="004E2F47"/>
    <w:rsid w:val="004E39DD"/>
    <w:rsid w:val="00504AB8"/>
    <w:rsid w:val="005133FD"/>
    <w:rsid w:val="0051366D"/>
    <w:rsid w:val="005150B3"/>
    <w:rsid w:val="00521224"/>
    <w:rsid w:val="00527F3A"/>
    <w:rsid w:val="005665D2"/>
    <w:rsid w:val="00590319"/>
    <w:rsid w:val="00595FF6"/>
    <w:rsid w:val="005A064D"/>
    <w:rsid w:val="005A31FE"/>
    <w:rsid w:val="005B1DD8"/>
    <w:rsid w:val="005D3F28"/>
    <w:rsid w:val="005E2554"/>
    <w:rsid w:val="005F2D34"/>
    <w:rsid w:val="0060610C"/>
    <w:rsid w:val="00614574"/>
    <w:rsid w:val="00640C8F"/>
    <w:rsid w:val="00677303"/>
    <w:rsid w:val="006913A7"/>
    <w:rsid w:val="00692D3D"/>
    <w:rsid w:val="006974BC"/>
    <w:rsid w:val="006A1669"/>
    <w:rsid w:val="006B135F"/>
    <w:rsid w:val="006B1AE6"/>
    <w:rsid w:val="006B1EEB"/>
    <w:rsid w:val="006D5E48"/>
    <w:rsid w:val="007048B0"/>
    <w:rsid w:val="00716DBC"/>
    <w:rsid w:val="0073212E"/>
    <w:rsid w:val="00735BD4"/>
    <w:rsid w:val="00757C34"/>
    <w:rsid w:val="00762BA7"/>
    <w:rsid w:val="0077148B"/>
    <w:rsid w:val="007C6548"/>
    <w:rsid w:val="007C69C9"/>
    <w:rsid w:val="007D332B"/>
    <w:rsid w:val="007E3772"/>
    <w:rsid w:val="007E62E6"/>
    <w:rsid w:val="007E7C48"/>
    <w:rsid w:val="007F0349"/>
    <w:rsid w:val="00801B1D"/>
    <w:rsid w:val="0080268E"/>
    <w:rsid w:val="008155A6"/>
    <w:rsid w:val="00834C87"/>
    <w:rsid w:val="00835DB7"/>
    <w:rsid w:val="008441A6"/>
    <w:rsid w:val="0084633C"/>
    <w:rsid w:val="00870E2F"/>
    <w:rsid w:val="0087110F"/>
    <w:rsid w:val="00884CA8"/>
    <w:rsid w:val="008F1B6E"/>
    <w:rsid w:val="009066B1"/>
    <w:rsid w:val="009130D7"/>
    <w:rsid w:val="00920778"/>
    <w:rsid w:val="00931EDF"/>
    <w:rsid w:val="009340E6"/>
    <w:rsid w:val="0093445D"/>
    <w:rsid w:val="00935306"/>
    <w:rsid w:val="0094410D"/>
    <w:rsid w:val="009766F1"/>
    <w:rsid w:val="00977697"/>
    <w:rsid w:val="00992D09"/>
    <w:rsid w:val="009934BB"/>
    <w:rsid w:val="00993B7D"/>
    <w:rsid w:val="00995E10"/>
    <w:rsid w:val="00995FE3"/>
    <w:rsid w:val="009C0530"/>
    <w:rsid w:val="009C4873"/>
    <w:rsid w:val="009E493F"/>
    <w:rsid w:val="009F4CC8"/>
    <w:rsid w:val="009F5A38"/>
    <w:rsid w:val="00A21F2E"/>
    <w:rsid w:val="00A67752"/>
    <w:rsid w:val="00A716A1"/>
    <w:rsid w:val="00A773E1"/>
    <w:rsid w:val="00A85568"/>
    <w:rsid w:val="00A90659"/>
    <w:rsid w:val="00AE4288"/>
    <w:rsid w:val="00AF2708"/>
    <w:rsid w:val="00AF3D84"/>
    <w:rsid w:val="00B15B8C"/>
    <w:rsid w:val="00B16D1F"/>
    <w:rsid w:val="00B32A20"/>
    <w:rsid w:val="00B37CFC"/>
    <w:rsid w:val="00B4269B"/>
    <w:rsid w:val="00B45D9E"/>
    <w:rsid w:val="00B748EC"/>
    <w:rsid w:val="00B91114"/>
    <w:rsid w:val="00BC08A6"/>
    <w:rsid w:val="00BC65DE"/>
    <w:rsid w:val="00BD5EB0"/>
    <w:rsid w:val="00BE5595"/>
    <w:rsid w:val="00BE6A0B"/>
    <w:rsid w:val="00BF3FAB"/>
    <w:rsid w:val="00C165B3"/>
    <w:rsid w:val="00C25B69"/>
    <w:rsid w:val="00C310D4"/>
    <w:rsid w:val="00C823A0"/>
    <w:rsid w:val="00C8332D"/>
    <w:rsid w:val="00C851E2"/>
    <w:rsid w:val="00C921BF"/>
    <w:rsid w:val="00C951F8"/>
    <w:rsid w:val="00CB63E4"/>
    <w:rsid w:val="00CC36F9"/>
    <w:rsid w:val="00CC6414"/>
    <w:rsid w:val="00CD0E0F"/>
    <w:rsid w:val="00CD32D5"/>
    <w:rsid w:val="00CD6230"/>
    <w:rsid w:val="00CF1D0B"/>
    <w:rsid w:val="00D02C93"/>
    <w:rsid w:val="00D16473"/>
    <w:rsid w:val="00D21CAB"/>
    <w:rsid w:val="00D2563B"/>
    <w:rsid w:val="00D368BA"/>
    <w:rsid w:val="00D453D1"/>
    <w:rsid w:val="00D566E4"/>
    <w:rsid w:val="00D67FCE"/>
    <w:rsid w:val="00D84FB1"/>
    <w:rsid w:val="00DA1F14"/>
    <w:rsid w:val="00DD0832"/>
    <w:rsid w:val="00DD0B6A"/>
    <w:rsid w:val="00DF583D"/>
    <w:rsid w:val="00E35683"/>
    <w:rsid w:val="00E43E7A"/>
    <w:rsid w:val="00E6169C"/>
    <w:rsid w:val="00E65BDF"/>
    <w:rsid w:val="00E76B0C"/>
    <w:rsid w:val="00E80260"/>
    <w:rsid w:val="00E9033B"/>
    <w:rsid w:val="00ED72F2"/>
    <w:rsid w:val="00EE2597"/>
    <w:rsid w:val="00F030A6"/>
    <w:rsid w:val="00F04658"/>
    <w:rsid w:val="00F04861"/>
    <w:rsid w:val="00F142A3"/>
    <w:rsid w:val="00F244D2"/>
    <w:rsid w:val="00F54AC7"/>
    <w:rsid w:val="00F7039F"/>
    <w:rsid w:val="00F86AB3"/>
    <w:rsid w:val="00FA34C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FB876665-D58F-429C-AE8A-A94D3F8D7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D083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08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0832"/>
    <w:rPr>
      <w:i/>
      <w:iCs/>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iCs/>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iCs/>
      <w:color w:val="2F5496" w:themeColor="accent1" w:themeShade="BF"/>
    </w:rPr>
  </w:style>
  <w:style w:type="character" w:styleId="Riferimentointenso">
    <w:name w:val="Intense Reference"/>
    <w:basedOn w:val="Carpredefinitoparagrafo"/>
    <w:uiPriority w:val="32"/>
    <w:qFormat/>
    <w:rsid w:val="00DD0832"/>
    <w:rPr>
      <w:b/>
      <w:bCs/>
      <w:smallCaps/>
      <w:color w:val="2F5496" w:themeColor="accent1" w:themeShade="BF"/>
      <w:spacing w:val="5"/>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94410D"/>
    <w:rPr>
      <w:color w:val="0563C1" w:themeColor="hyperlink"/>
      <w:u w:val="single"/>
    </w:rPr>
  </w:style>
  <w:style w:type="character" w:styleId="Menzionenonrisolta">
    <w:name w:val="Unresolved Mention"/>
    <w:basedOn w:val="Carpredefinitoparagrafo"/>
    <w:uiPriority w:val="99"/>
    <w:semiHidden/>
    <w:unhideWhenUsed/>
    <w:rsid w:val="009441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230313313">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1774663098">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 w:id="1468358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430</Words>
  <Characters>2451</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Girolamo Rossi</dc:creator>
  <cp:keywords/>
  <dc:description/>
  <cp:lastModifiedBy>Patrizia Menicucci</cp:lastModifiedBy>
  <cp:revision>2</cp:revision>
  <dcterms:created xsi:type="dcterms:W3CDTF">2026-11-02T14:17:00Z</dcterms:created>
  <dcterms:modified xsi:type="dcterms:W3CDTF">2026-11-02T14:17:00Z</dcterms:modified>
</cp:coreProperties>
</file>